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EF" w:rsidRPr="002C3AEF" w:rsidRDefault="002C3AEF" w:rsidP="002C3AEF">
      <w:pPr>
        <w:spacing w:line="270" w:lineRule="exact"/>
        <w:jc w:val="right"/>
        <w:rPr>
          <w:rStyle w:val="a6"/>
          <w:rFonts w:eastAsiaTheme="minorHAnsi"/>
          <w:b w:val="0"/>
          <w:bCs w:val="0"/>
          <w:sz w:val="24"/>
          <w:szCs w:val="24"/>
          <w:u w:val="none"/>
        </w:rPr>
      </w:pPr>
      <w:r>
        <w:rPr>
          <w:rStyle w:val="a6"/>
          <w:rFonts w:eastAsiaTheme="minorHAnsi"/>
          <w:sz w:val="24"/>
          <w:szCs w:val="24"/>
          <w:u w:val="none"/>
        </w:rPr>
        <w:t>Anexă la decizia</w:t>
      </w:r>
      <w:r>
        <w:rPr>
          <w:rStyle w:val="a6"/>
          <w:rFonts w:eastAsiaTheme="minorHAnsi"/>
          <w:sz w:val="24"/>
          <w:szCs w:val="24"/>
          <w:u w:val="none"/>
        </w:rPr>
        <w:br/>
        <w:t xml:space="preserve">nr.6/4 din 27 noiembrie </w:t>
      </w:r>
      <w:r w:rsidRPr="002C3AEF">
        <w:rPr>
          <w:rStyle w:val="a6"/>
          <w:rFonts w:eastAsiaTheme="minorHAnsi"/>
          <w:sz w:val="24"/>
          <w:szCs w:val="24"/>
          <w:u w:val="none"/>
        </w:rPr>
        <w:t>2018</w:t>
      </w:r>
    </w:p>
    <w:p w:rsidR="002C3AEF" w:rsidRDefault="002C3AEF" w:rsidP="002C3AEF">
      <w:pPr>
        <w:spacing w:after="0" w:line="270" w:lineRule="exact"/>
        <w:jc w:val="center"/>
        <w:rPr>
          <w:rStyle w:val="a6"/>
          <w:rFonts w:eastAsiaTheme="minorHAnsi"/>
          <w:b w:val="0"/>
          <w:bCs w:val="0"/>
          <w:sz w:val="24"/>
          <w:szCs w:val="24"/>
        </w:rPr>
      </w:pPr>
    </w:p>
    <w:p w:rsidR="002C3AEF" w:rsidRDefault="002C3AEF" w:rsidP="002C3AEF">
      <w:pPr>
        <w:spacing w:after="0" w:line="270" w:lineRule="exact"/>
        <w:jc w:val="center"/>
        <w:rPr>
          <w:rStyle w:val="a6"/>
          <w:rFonts w:eastAsiaTheme="minorHAnsi"/>
          <w:b w:val="0"/>
          <w:bCs w:val="0"/>
          <w:sz w:val="24"/>
          <w:szCs w:val="24"/>
        </w:rPr>
      </w:pPr>
      <w:r>
        <w:rPr>
          <w:rStyle w:val="a6"/>
          <w:rFonts w:eastAsiaTheme="minorHAnsi"/>
          <w:sz w:val="24"/>
          <w:szCs w:val="24"/>
        </w:rPr>
        <w:t xml:space="preserve">Cotele impozitelor ce urmează a fi încasate în bugetul </w:t>
      </w:r>
      <w:proofErr w:type="spellStart"/>
      <w:r>
        <w:rPr>
          <w:rStyle w:val="a6"/>
          <w:rFonts w:eastAsiaTheme="minorHAnsi"/>
          <w:sz w:val="24"/>
          <w:szCs w:val="24"/>
        </w:rPr>
        <w:t>unutății</w:t>
      </w:r>
      <w:proofErr w:type="spellEnd"/>
      <w:r>
        <w:rPr>
          <w:rStyle w:val="a6"/>
          <w:rFonts w:eastAsiaTheme="minorHAnsi"/>
          <w:sz w:val="24"/>
          <w:szCs w:val="24"/>
        </w:rPr>
        <w:t xml:space="preserve"> </w:t>
      </w:r>
      <w:proofErr w:type="spellStart"/>
      <w:r>
        <w:rPr>
          <w:rStyle w:val="a6"/>
          <w:rFonts w:eastAsiaTheme="minorHAnsi"/>
          <w:sz w:val="24"/>
          <w:szCs w:val="24"/>
        </w:rPr>
        <w:t>administrati</w:t>
      </w:r>
      <w:proofErr w:type="spellEnd"/>
      <w:r>
        <w:rPr>
          <w:rStyle w:val="a6"/>
          <w:rFonts w:eastAsiaTheme="minorHAnsi"/>
          <w:sz w:val="24"/>
          <w:szCs w:val="24"/>
        </w:rPr>
        <w:t xml:space="preserve"> teritoriale a comunei </w:t>
      </w:r>
      <w:proofErr w:type="spellStart"/>
      <w:r>
        <w:rPr>
          <w:rStyle w:val="a6"/>
          <w:rFonts w:eastAsiaTheme="minorHAnsi"/>
          <w:sz w:val="24"/>
          <w:szCs w:val="24"/>
        </w:rPr>
        <w:t>Mîrzești</w:t>
      </w:r>
      <w:proofErr w:type="spellEnd"/>
    </w:p>
    <w:p w:rsidR="002C3AEF" w:rsidRDefault="002C3AEF" w:rsidP="002C3AEF">
      <w:pPr>
        <w:spacing w:after="0" w:line="270" w:lineRule="exact"/>
        <w:jc w:val="center"/>
        <w:rPr>
          <w:rStyle w:val="a6"/>
          <w:rFonts w:eastAsiaTheme="minorHAnsi"/>
          <w:b w:val="0"/>
          <w:bCs w:val="0"/>
          <w:sz w:val="24"/>
          <w:szCs w:val="24"/>
        </w:rPr>
      </w:pPr>
    </w:p>
    <w:tbl>
      <w:tblPr>
        <w:tblStyle w:val="a7"/>
        <w:tblW w:w="0" w:type="auto"/>
        <w:tblInd w:w="0" w:type="dxa"/>
        <w:tblLook w:val="04A0"/>
      </w:tblPr>
      <w:tblGrid>
        <w:gridCol w:w="811"/>
        <w:gridCol w:w="7410"/>
        <w:gridCol w:w="1350"/>
      </w:tblGrid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Nr.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d/o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Obiectul impunerii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Cotele concrete</w:t>
            </w:r>
          </w:p>
        </w:tc>
      </w:tr>
      <w:tr w:rsidR="002C3AEF" w:rsidRP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8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Cotele concrete la impozitul pe bunurile imobiliare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Pentru bunurile imobiliare evaluate de către organele cadastrale în scopul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impozitării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>(conform art.280 din titlul VI al Codului fiscal)</w:t>
            </w: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Bunurile imobiliare,inclusiv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cu destinație locativă (apartamente și case de locuit individuale terenuri aferente acestor bunuri)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0,1%</w:t>
            </w:r>
          </w:p>
        </w:tc>
      </w:tr>
      <w:tr w:rsidR="002C3AEF" w:rsidRP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garajele și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terenurilepe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care acestea sunt amplasate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loturile întovărășirilor cu sa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fara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construcții amplasate pe ele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Terenurile agricole cu construcții amplasate pe ele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Bunurile imobiliare cu altă destinație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decăt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cea locativă sau agricolă inclusiv</w:t>
            </w:r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>exceptînd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garajele și terenurile pe care acestea sunt amplasate îi loturile întovărășirilor pomicole cu sau fără construcții amplasate pe ele.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0,3%</w:t>
            </w:r>
          </w:p>
        </w:tc>
      </w:tr>
      <w:tr w:rsidR="002C3AEF" w:rsidRP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8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Cotele concrete  la impozitul funciar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pentru terenurile neevaluate de către organele cadastrale în scopul impozitării </w:t>
            </w:r>
          </w:p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>(conform Anexei nr.1 la Legea pentru punerea în aplicare a titlului VI din Codul fiscal nr.1056 din a6.06.2000)</w:t>
            </w:r>
          </w:p>
        </w:tc>
      </w:tr>
      <w:tr w:rsidR="002C3AEF" w:rsidTr="002C3AEF">
        <w:trPr>
          <w:trHeight w:val="52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Terenurile cu destinație agricolă: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1) toate terenurile,altele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decît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ceele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cu destinație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fîneșelor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și pășunilor: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a) care au indici cadastrali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b) care nu au indici cadastrali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1.50 lei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1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gr.ha</w:t>
            </w:r>
            <w:proofErr w:type="spellEnd"/>
          </w:p>
        </w:tc>
      </w:tr>
      <w:tr w:rsidR="002C3AEF" w:rsidTr="002C3AEF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Tr="002C3AEF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Tr="002C3AEF">
        <w:trPr>
          <w:trHeight w:val="5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2) Terenurile destinate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fînețelor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și pășunilor</w:t>
            </w:r>
          </w:p>
          <w:p w:rsidR="002C3AEF" w:rsidRDefault="002C3AEF">
            <w:pPr>
              <w:spacing w:line="270" w:lineRule="exact"/>
              <w:rPr>
                <w:lang w:val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a) </w:t>
            </w:r>
            <w:r>
              <w:rPr>
                <w:rStyle w:val="2"/>
                <w:rFonts w:eastAsia="Franklin Gothic Book"/>
                <w:sz w:val="24"/>
                <w:szCs w:val="24"/>
                <w:lang w:eastAsia="en-US"/>
              </w:rPr>
              <w:t>care au indici cadastrali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2"/>
                <w:rFonts w:eastAsia="Franklin Gothic Book"/>
                <w:sz w:val="24"/>
                <w:szCs w:val="24"/>
                <w:lang w:eastAsia="en-US"/>
              </w:rPr>
              <w:t>b) care nu au indici cadastrali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0.40 lei pt.1 ha</w:t>
            </w:r>
          </w:p>
        </w:tc>
      </w:tr>
      <w:tr w:rsidR="002C3AEF" w:rsidTr="002C3AEF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55.00 lei pt.1 ha</w:t>
            </w:r>
          </w:p>
        </w:tc>
      </w:tr>
      <w:tr w:rsidR="002C3AEF" w:rsidTr="002C3AE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3)  Terenurile ocupate de obiecte acvatice (iazuri,lacuri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etc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)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115 lei pt.1 ha </w:t>
            </w: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Terenurile din intravilan,inclusiv:</w:t>
            </w:r>
          </w:p>
          <w:p w:rsidR="002C3AEF" w:rsidRDefault="002C3AEF" w:rsidP="004E73EE">
            <w:pPr>
              <w:pStyle w:val="a4"/>
              <w:numPr>
                <w:ilvl w:val="0"/>
                <w:numId w:val="1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terenurile pe care sunt amplasate fondul de locuințe ,loturi de pe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lîngă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domiciliu (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incșlusiv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terenurile atribuite de către autoritățile publice locale ca loturi de pe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lîngă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domiciliu și distribuite în extravilan , din cauza insuficienței de terenuri în intravilan (grădini)</w:t>
            </w:r>
          </w:p>
          <w:p w:rsidR="002C3AEF" w:rsidRDefault="002C3AEF">
            <w:pPr>
              <w:spacing w:line="270" w:lineRule="exact"/>
              <w:ind w:left="360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–în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localităîțile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rurale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2) terenurile atribuite de către autoritățile publice locale ca loturi de pe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lîngă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domiciliu și distribuite în extravilan , din cauza insuficienței de terenuri în intravilan ,neevaluate de către organele cadastrale teritoriale conform valorii estimate (grădini):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i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>- orașe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 xml:space="preserve"> - municipii,</w:t>
            </w:r>
            <w:proofErr w:type="spellStart"/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>orașe-</w:t>
            </w:r>
            <w:proofErr w:type="spellEnd"/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 xml:space="preserve"> rezidente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1 leu pt.100 m.p.</w:t>
            </w: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3) terenurile destinate întreprinderilor agricole , alte terenuri neevaluate de către organele cadastrale teritoriale conform valorii </w:t>
            </w: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lastRenderedPageBreak/>
              <w:t>estimate.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lastRenderedPageBreak/>
              <w:t>10 lei pt.100 m</w:t>
            </w:r>
          </w:p>
        </w:tc>
      </w:tr>
      <w:tr w:rsid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lastRenderedPageBreak/>
              <w:t>8,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Terenurile din extravilan,inclusiv:</w:t>
            </w:r>
          </w:p>
          <w:p w:rsidR="002C3AEF" w:rsidRDefault="002C3AEF" w:rsidP="004E73EE">
            <w:pPr>
              <w:pStyle w:val="a4"/>
              <w:numPr>
                <w:ilvl w:val="0"/>
                <w:numId w:val="2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terenurile pe care sunt amplasate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cladiri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și construcții ,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cariaerele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și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pămînturile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distruse în urma activității de producție neevaluate de către organele cadastrale teritoriale conform valorii estimate;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350 lei pt.1 ha</w:t>
            </w:r>
          </w:p>
        </w:tc>
      </w:tr>
      <w:tr w:rsidR="002C3AEF" w:rsidRPr="002C3AEF" w:rsidTr="002C3AE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 w:rsidP="004E73EE">
            <w:pPr>
              <w:pStyle w:val="a4"/>
              <w:numPr>
                <w:ilvl w:val="0"/>
                <w:numId w:val="2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terenurile altele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decît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cele specificate la alin.1). neevaluate de către organele cadastrale teritoriale conform valorii estimate.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jc w:val="center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Cotele concrete la impozitul pe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bunurileb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imobiliare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Pentru clădirile,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constructiile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,casele de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locuitindividuale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,apartamentele și alte încăperi izolate, inclusiv cele aflate la o etapă de finisare a construcției de 50%vsi mai mult rămase nefinisate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imp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de 3 ani după începutul lucrărilor de construcție neevaluate de către organele cadastrale în scopul impozitării (</w:t>
            </w:r>
            <w:r>
              <w:rPr>
                <w:rStyle w:val="a6"/>
                <w:rFonts w:eastAsiaTheme="minorHAnsi"/>
                <w:i/>
                <w:sz w:val="24"/>
                <w:szCs w:val="24"/>
                <w:lang w:eastAsia="en-US"/>
              </w:rPr>
              <w:t>conform Anexei nr.2 la Legea pentru punerea în aplicare a titlului VI din Codul fiscal nr.1056 din a6.06.2000)</w:t>
            </w: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C3AEF" w:rsidRPr="002C3AEF" w:rsidTr="002C3AEF">
        <w:trPr>
          <w:trHeight w:val="1170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Pentru clădirile și construcțiile cu destinație agricolă ,garajele,construcțiile amplasate pe terenurile loturilor întovărășirilor pomicole  neevaluate de către organele cadastrale teritoriale conform valorii estimate,inclusiv;</w:t>
            </w:r>
          </w:p>
          <w:p w:rsidR="002C3AEF" w:rsidRDefault="002C3AEF" w:rsidP="004E73EE">
            <w:pPr>
              <w:pStyle w:val="a4"/>
              <w:numPr>
                <w:ilvl w:val="0"/>
                <w:numId w:val="3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pentru persoanele juridice și fizice , care desfășoară activitate de întreprinzător;</w:t>
            </w:r>
          </w:p>
          <w:p w:rsidR="002C3AEF" w:rsidRDefault="002C3AEF" w:rsidP="004E73EE">
            <w:pPr>
              <w:pStyle w:val="a4"/>
              <w:numPr>
                <w:ilvl w:val="0"/>
                <w:numId w:val="3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pentru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persoanel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fizice , altele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decît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cele specificate la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lit.a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rPr>
          <w:trHeight w:val="62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rPr>
          <w:trHeight w:val="124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 Pentru bunurile imobiliare altele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decît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cele specificate în pct.9 și pct.11. neevaluate de către organele cadastrale teritoriale conform valorii estimate;</w:t>
            </w:r>
          </w:p>
          <w:p w:rsidR="002C3AEF" w:rsidRDefault="002C3AEF" w:rsidP="004E73EE">
            <w:pPr>
              <w:pStyle w:val="a4"/>
              <w:numPr>
                <w:ilvl w:val="0"/>
                <w:numId w:val="4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pentru persoanele juridice și fizice , care desfășoară activitate de întreprinzător;</w:t>
            </w:r>
          </w:p>
          <w:p w:rsidR="002C3AEF" w:rsidRDefault="002C3AEF" w:rsidP="004E73EE">
            <w:pPr>
              <w:pStyle w:val="a4"/>
              <w:numPr>
                <w:ilvl w:val="0"/>
                <w:numId w:val="4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pentru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persoanel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fizice , altele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decît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cele specificate la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lit.a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)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rPr>
          <w:trHeight w:val="3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rPr>
          <w:trHeight w:val="1230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Bunurile imobiliare cu destinație locativă (apartamente și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casede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locuit individuale ) din localitățile rurale se stabilesc după cum urmează:</w:t>
            </w:r>
          </w:p>
          <w:p w:rsidR="002C3AEF" w:rsidRDefault="002C3AEF" w:rsidP="004E73EE">
            <w:pPr>
              <w:pStyle w:val="a4"/>
              <w:numPr>
                <w:ilvl w:val="0"/>
                <w:numId w:val="5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pentru persoanele juridice și fizice , care desfășoară activitate de întreprinzător;</w:t>
            </w:r>
          </w:p>
          <w:p w:rsidR="002C3AEF" w:rsidRDefault="002C3AEF" w:rsidP="004E73EE">
            <w:pPr>
              <w:pStyle w:val="a4"/>
              <w:numPr>
                <w:ilvl w:val="0"/>
                <w:numId w:val="5"/>
              </w:num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pentru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persoanel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fizice , altele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decît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 xml:space="preserve"> cele specificate la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lit.a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)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eastAsiaTheme="minorHAnsi"/>
                <w:sz w:val="24"/>
                <w:szCs w:val="24"/>
                <w:lang w:eastAsia="en-US"/>
              </w:rPr>
              <w:t>0.1 la suta din baza impozabilă a bunurilor imobiliare</w:t>
            </w:r>
          </w:p>
        </w:tc>
      </w:tr>
      <w:tr w:rsidR="002C3AEF" w:rsidRPr="002C3AEF" w:rsidTr="002C3AEF">
        <w:trPr>
          <w:trHeight w:val="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3AEF" w:rsidRDefault="002C3AEF">
            <w:pPr>
              <w:rPr>
                <w:rStyle w:val="a6"/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</w:tr>
      <w:tr w:rsidR="002C3AEF" w:rsidRPr="002C3AEF" w:rsidTr="002C3AEF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3AEF" w:rsidRDefault="002C3AEF">
            <w:pPr>
              <w:pStyle w:val="6"/>
              <w:shd w:val="clear" w:color="auto" w:fill="auto"/>
              <w:spacing w:line="274" w:lineRule="exact"/>
              <w:ind w:right="2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Style w:val="a6"/>
                <w:rFonts w:eastAsiaTheme="minorHAnsi"/>
                <w:sz w:val="24"/>
                <w:szCs w:val="24"/>
              </w:rPr>
              <w:t xml:space="preserve">Notă: În cazurile în care suprafața </w:t>
            </w:r>
            <w:proofErr w:type="spellStart"/>
            <w:r>
              <w:rPr>
                <w:rStyle w:val="a6"/>
                <w:rFonts w:eastAsiaTheme="minorHAnsi"/>
                <w:sz w:val="24"/>
                <w:szCs w:val="24"/>
              </w:rPr>
              <w:t>totalî</w:t>
            </w:r>
            <w:proofErr w:type="spellEnd"/>
            <w:r>
              <w:rPr>
                <w:rStyle w:val="a6"/>
                <w:rFonts w:eastAsiaTheme="minorHAnsi"/>
                <w:sz w:val="24"/>
                <w:szCs w:val="24"/>
              </w:rPr>
              <w:t xml:space="preserve"> a locuințelor și a construcțiilor principale ale persoanelor fizice care nu desfășoară activitate de întreprinzător , înregistrate cu drept de proprietate , depășește  </w:t>
            </w:r>
            <w:r>
              <w:rPr>
                <w:rStyle w:val="11pt"/>
                <w:sz w:val="24"/>
                <w:szCs w:val="24"/>
              </w:rPr>
              <w:t xml:space="preserve">100 </w:t>
            </w:r>
            <w:r>
              <w:rPr>
                <w:rStyle w:val="3"/>
                <w:sz w:val="24"/>
                <w:szCs w:val="24"/>
              </w:rPr>
              <w:t>m</w:t>
            </w:r>
            <w:r>
              <w:rPr>
                <w:rStyle w:val="3"/>
                <w:sz w:val="24"/>
                <w:szCs w:val="24"/>
                <w:vertAlign w:val="superscript"/>
              </w:rPr>
              <w:t>2</w:t>
            </w:r>
            <w:r>
              <w:rPr>
                <w:rStyle w:val="3"/>
                <w:sz w:val="24"/>
                <w:szCs w:val="24"/>
              </w:rPr>
              <w:t xml:space="preserve"> inclusiv, cotele concrete stabilite ale impozitului pe bunurile imobiliare se majorează în funcţie de suprafaţa totală, după cum urmează: </w:t>
            </w:r>
            <w:r>
              <w:rPr>
                <w:rStyle w:val="3"/>
                <w:sz w:val="24"/>
                <w:szCs w:val="24"/>
              </w:rPr>
              <w:br/>
              <w:t xml:space="preserve">          - de la 100 la 150 m</w:t>
            </w:r>
            <w:r>
              <w:rPr>
                <w:rStyle w:val="3"/>
                <w:sz w:val="24"/>
                <w:szCs w:val="24"/>
                <w:vertAlign w:val="superscript"/>
              </w:rPr>
              <w:t>2</w:t>
            </w:r>
            <w:r>
              <w:rPr>
                <w:rStyle w:val="3"/>
                <w:sz w:val="24"/>
                <w:szCs w:val="24"/>
              </w:rPr>
              <w:t xml:space="preserve"> inclusiv - de 1,5 ori;</w:t>
            </w:r>
          </w:p>
          <w:p w:rsidR="002C3AEF" w:rsidRDefault="002C3AEF" w:rsidP="004E73EE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739"/>
              </w:tabs>
              <w:spacing w:line="278" w:lineRule="exact"/>
              <w:ind w:left="600"/>
              <w:jc w:val="left"/>
              <w:rPr>
                <w:sz w:val="24"/>
                <w:szCs w:val="24"/>
                <w:lang w:val="en-US"/>
              </w:rPr>
            </w:pPr>
            <w:r>
              <w:rPr>
                <w:rStyle w:val="3"/>
                <w:sz w:val="24"/>
                <w:szCs w:val="24"/>
              </w:rPr>
              <w:t>de la 150 la 200 m</w:t>
            </w:r>
            <w:r>
              <w:rPr>
                <w:rStyle w:val="3"/>
                <w:sz w:val="24"/>
                <w:szCs w:val="24"/>
                <w:vertAlign w:val="superscript"/>
              </w:rPr>
              <w:t>2</w:t>
            </w:r>
            <w:r>
              <w:rPr>
                <w:rStyle w:val="3"/>
                <w:sz w:val="24"/>
                <w:szCs w:val="24"/>
              </w:rPr>
              <w:t xml:space="preserve"> inclusiv - de 2 ori;</w:t>
            </w:r>
          </w:p>
          <w:p w:rsidR="002C3AEF" w:rsidRDefault="002C3AEF" w:rsidP="004E73EE">
            <w:pPr>
              <w:pStyle w:val="6"/>
              <w:numPr>
                <w:ilvl w:val="0"/>
                <w:numId w:val="6"/>
              </w:numPr>
              <w:shd w:val="clear" w:color="auto" w:fill="auto"/>
              <w:tabs>
                <w:tab w:val="left" w:pos="744"/>
              </w:tabs>
              <w:spacing w:line="278" w:lineRule="exact"/>
              <w:ind w:left="600"/>
              <w:jc w:val="left"/>
              <w:rPr>
                <w:sz w:val="24"/>
                <w:szCs w:val="24"/>
                <w:lang w:val="en-US"/>
              </w:rPr>
            </w:pPr>
            <w:r>
              <w:rPr>
                <w:rStyle w:val="3"/>
                <w:sz w:val="24"/>
                <w:szCs w:val="24"/>
              </w:rPr>
              <w:t>de la 200 la 300 m</w:t>
            </w:r>
            <w:r>
              <w:rPr>
                <w:rStyle w:val="3"/>
                <w:sz w:val="24"/>
                <w:szCs w:val="24"/>
                <w:vertAlign w:val="superscript"/>
              </w:rPr>
              <w:t>2</w:t>
            </w:r>
            <w:r>
              <w:rPr>
                <w:rStyle w:val="3"/>
                <w:sz w:val="24"/>
                <w:szCs w:val="24"/>
              </w:rPr>
              <w:t xml:space="preserve"> inclusiv - de 10 ori;</w:t>
            </w:r>
          </w:p>
          <w:p w:rsidR="002C3AEF" w:rsidRDefault="002C3AEF">
            <w:pPr>
              <w:spacing w:line="270" w:lineRule="exact"/>
              <w:rPr>
                <w:rStyle w:val="3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3"/>
                <w:rFonts w:eastAsiaTheme="minorEastAsia"/>
                <w:sz w:val="24"/>
                <w:szCs w:val="24"/>
                <w:lang w:eastAsia="en-US"/>
              </w:rPr>
              <w:t xml:space="preserve">          - peste 300 m</w:t>
            </w:r>
            <w:r>
              <w:rPr>
                <w:rStyle w:val="3"/>
                <w:rFonts w:eastAsiaTheme="minorEastAsia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Style w:val="3"/>
                <w:rFonts w:eastAsiaTheme="minorEastAsia"/>
                <w:sz w:val="24"/>
                <w:szCs w:val="24"/>
                <w:lang w:eastAsia="en-US"/>
              </w:rPr>
              <w:t xml:space="preserve"> - de 15 ori.</w:t>
            </w:r>
          </w:p>
          <w:p w:rsidR="002C3AEF" w:rsidRDefault="002C3AEF">
            <w:pPr>
              <w:spacing w:line="270" w:lineRule="exact"/>
              <w:rPr>
                <w:rStyle w:val="a6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Style w:val="3"/>
                <w:rFonts w:eastAsiaTheme="minorEastAsia"/>
                <w:sz w:val="24"/>
                <w:szCs w:val="24"/>
                <w:lang w:eastAsia="en-US"/>
              </w:rPr>
              <w:t>Construcție principală – construcție înregistrată cu drept de proprietate a persoanei fizice care are destinație de locuință și nu este antrenată în activitatea de întreprinzător.</w:t>
            </w:r>
          </w:p>
        </w:tc>
      </w:tr>
    </w:tbl>
    <w:p w:rsidR="002C3AEF" w:rsidRDefault="002C3AEF" w:rsidP="002C3AEF">
      <w:pPr>
        <w:spacing w:after="0" w:line="270" w:lineRule="exact"/>
        <w:rPr>
          <w:rStyle w:val="a6"/>
          <w:rFonts w:eastAsiaTheme="minorHAnsi"/>
          <w:b w:val="0"/>
          <w:bCs w:val="0"/>
          <w:sz w:val="24"/>
          <w:szCs w:val="24"/>
          <w:lang w:val="en-US"/>
        </w:rPr>
      </w:pPr>
    </w:p>
    <w:p w:rsidR="002C3AEF" w:rsidRDefault="002C3AEF" w:rsidP="002C3AEF">
      <w:pPr>
        <w:spacing w:after="0" w:line="270" w:lineRule="exact"/>
        <w:rPr>
          <w:rStyle w:val="a6"/>
          <w:rFonts w:eastAsiaTheme="minorHAnsi"/>
          <w:b w:val="0"/>
          <w:bCs w:val="0"/>
          <w:sz w:val="24"/>
          <w:szCs w:val="24"/>
        </w:rPr>
      </w:pPr>
    </w:p>
    <w:p w:rsidR="002C3AEF" w:rsidRDefault="002C3AEF" w:rsidP="002C3AEF">
      <w:pPr>
        <w:spacing w:after="0" w:line="270" w:lineRule="exact"/>
        <w:rPr>
          <w:rStyle w:val="a6"/>
          <w:rFonts w:eastAsiaTheme="minorHAnsi"/>
          <w:b w:val="0"/>
          <w:bCs w:val="0"/>
          <w:sz w:val="24"/>
          <w:szCs w:val="24"/>
        </w:rPr>
      </w:pPr>
    </w:p>
    <w:p w:rsidR="002C3AEF" w:rsidRDefault="002C3AEF" w:rsidP="002C3AEF">
      <w:pPr>
        <w:spacing w:after="0" w:line="270" w:lineRule="exact"/>
        <w:rPr>
          <w:rStyle w:val="a6"/>
          <w:rFonts w:eastAsiaTheme="minorHAnsi"/>
          <w:b w:val="0"/>
          <w:bCs w:val="0"/>
          <w:sz w:val="24"/>
          <w:szCs w:val="24"/>
        </w:rPr>
      </w:pPr>
    </w:p>
    <w:p w:rsidR="002C3AEF" w:rsidRDefault="002C3AEF" w:rsidP="002C3AEF">
      <w:pPr>
        <w:spacing w:after="0" w:line="270" w:lineRule="exact"/>
        <w:rPr>
          <w:rStyle w:val="a6"/>
          <w:rFonts w:eastAsiaTheme="minorHAnsi"/>
          <w:b w:val="0"/>
          <w:bCs w:val="0"/>
          <w:sz w:val="24"/>
          <w:szCs w:val="24"/>
        </w:rPr>
      </w:pPr>
    </w:p>
    <w:p w:rsidR="002C3AEF" w:rsidRDefault="002C3AEF" w:rsidP="002C3AEF">
      <w:pPr>
        <w:rPr>
          <w:rFonts w:eastAsia="Times New Roman"/>
          <w:bCs/>
          <w:i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interimar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Balan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Margareta</w:t>
      </w:r>
    </w:p>
    <w:p w:rsidR="0083617B" w:rsidRPr="002C3AEF" w:rsidRDefault="0083617B">
      <w:pPr>
        <w:rPr>
          <w:lang w:val="en-US"/>
        </w:rPr>
      </w:pPr>
    </w:p>
    <w:sectPr w:rsidR="0083617B" w:rsidRPr="002C3AEF" w:rsidSect="0083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D2653"/>
    <w:multiLevelType w:val="multilevel"/>
    <w:tmpl w:val="EE5CE8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FFC4DD2"/>
    <w:multiLevelType w:val="hybridMultilevel"/>
    <w:tmpl w:val="DFFC7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96464"/>
    <w:multiLevelType w:val="hybridMultilevel"/>
    <w:tmpl w:val="E648F3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25C0E"/>
    <w:multiLevelType w:val="hybridMultilevel"/>
    <w:tmpl w:val="DB944F92"/>
    <w:lvl w:ilvl="0" w:tplc="E81652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41A2D"/>
    <w:multiLevelType w:val="hybridMultilevel"/>
    <w:tmpl w:val="E648F3A8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2F53C7"/>
    <w:multiLevelType w:val="hybridMultilevel"/>
    <w:tmpl w:val="798A29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AEF"/>
    <w:rsid w:val="002C3AEF"/>
    <w:rsid w:val="0083617B"/>
    <w:rsid w:val="00A2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otarirePunct1 Знак"/>
    <w:link w:val="a4"/>
    <w:uiPriority w:val="34"/>
    <w:locked/>
    <w:rsid w:val="002C3AEF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HotarirePunct1"/>
    <w:basedOn w:val="a"/>
    <w:link w:val="a3"/>
    <w:uiPriority w:val="34"/>
    <w:qFormat/>
    <w:rsid w:val="002C3AEF"/>
    <w:pPr>
      <w:ind w:left="720"/>
      <w:contextualSpacing/>
    </w:pPr>
    <w:rPr>
      <w:rFonts w:ascii="Times New Roman" w:hAnsi="Times New Roman" w:cs="Times New Roman"/>
    </w:rPr>
  </w:style>
  <w:style w:type="character" w:customStyle="1" w:styleId="a5">
    <w:name w:val="Основной текст_"/>
    <w:basedOn w:val="a0"/>
    <w:link w:val="6"/>
    <w:locked/>
    <w:rsid w:val="002C3A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5"/>
    <w:rsid w:val="002C3AEF"/>
    <w:pPr>
      <w:widowControl w:val="0"/>
      <w:shd w:val="clear" w:color="auto" w:fill="FFFFFF"/>
      <w:spacing w:after="0" w:line="0" w:lineRule="atLeast"/>
      <w:ind w:hanging="62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6">
    <w:name w:val="Подпись к таблице"/>
    <w:basedOn w:val="a0"/>
    <w:rsid w:val="002C3AEF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o-RO"/>
    </w:rPr>
  </w:style>
  <w:style w:type="character" w:customStyle="1" w:styleId="2">
    <w:name w:val="Основной текст2"/>
    <w:basedOn w:val="a5"/>
    <w:rsid w:val="002C3AEF"/>
    <w:rPr>
      <w:color w:val="000000"/>
      <w:spacing w:val="0"/>
      <w:w w:val="100"/>
      <w:position w:val="0"/>
      <w:lang w:val="ro-RO"/>
    </w:rPr>
  </w:style>
  <w:style w:type="character" w:customStyle="1" w:styleId="3">
    <w:name w:val="Основной текст3"/>
    <w:basedOn w:val="a5"/>
    <w:rsid w:val="002C3AEF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o-RO"/>
    </w:rPr>
  </w:style>
  <w:style w:type="character" w:customStyle="1" w:styleId="11pt">
    <w:name w:val="Основной текст + 11 pt"/>
    <w:basedOn w:val="a5"/>
    <w:rsid w:val="002C3AEF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/>
    </w:rPr>
  </w:style>
  <w:style w:type="table" w:styleId="a7">
    <w:name w:val="Table Grid"/>
    <w:basedOn w:val="a1"/>
    <w:uiPriority w:val="59"/>
    <w:rsid w:val="002C3A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4429</Characters>
  <Application>Microsoft Office Word</Application>
  <DocSecurity>0</DocSecurity>
  <Lines>36</Lines>
  <Paragraphs>10</Paragraphs>
  <ScaleCrop>false</ScaleCrop>
  <Company>CtrlSoft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2018-11-29T13:38:00Z</dcterms:created>
  <dcterms:modified xsi:type="dcterms:W3CDTF">2018-11-29T13:38:00Z</dcterms:modified>
</cp:coreProperties>
</file>